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济宁地源水发建设综合开发有限公司</w:t>
      </w:r>
    </w:p>
    <w:p>
      <w:pPr>
        <w:spacing w:line="560" w:lineRule="exact"/>
        <w:jc w:val="cente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202</w:t>
      </w:r>
      <w:r>
        <w:rPr>
          <w:rFonts w:hint="eastAsia" w:ascii="方正小标宋简体" w:hAnsi="方正小标宋简体" w:eastAsia="方正小标宋简体" w:cs="方正小标宋简体"/>
          <w:sz w:val="44"/>
          <w:szCs w:val="44"/>
          <w:lang w:val="en-US" w:eastAsia="zh-CN"/>
        </w:rPr>
        <w:t>3</w:t>
      </w:r>
      <w:r>
        <w:rPr>
          <w:rFonts w:hint="default" w:ascii="方正小标宋简体" w:hAnsi="方正小标宋简体" w:eastAsia="方正小标宋简体" w:cs="方正小标宋简体"/>
          <w:sz w:val="44"/>
          <w:szCs w:val="44"/>
          <w:lang w:val="en-US" w:eastAsia="zh-CN"/>
        </w:rPr>
        <w:t>年度财务等重大信息公告</w:t>
      </w:r>
    </w:p>
    <w:p>
      <w:pPr>
        <w:pStyle w:val="2"/>
        <w:ind w:left="0" w:leftChars="0" w:firstLine="0" w:firstLineChars="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b w:val="0"/>
          <w:bCs w:val="0"/>
          <w:color w:val="auto"/>
          <w:sz w:val="32"/>
          <w:szCs w:val="32"/>
          <w:lang w:val="en-US" w:eastAsia="zh-CN"/>
        </w:rPr>
      </w:pPr>
      <w:bookmarkStart w:id="0" w:name="_Toc10524"/>
      <w:r>
        <w:rPr>
          <w:rStyle w:val="14"/>
          <w:rFonts w:hint="default" w:ascii="Times New Roman" w:hAnsi="Times New Roman" w:cs="Times New Roman"/>
          <w:lang w:val="en-US" w:eastAsia="zh-CN"/>
        </w:rPr>
        <w:t>一、企业基本情况</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 w:val="0"/>
          <w:bCs w:val="0"/>
          <w:color w:val="auto"/>
          <w:sz w:val="32"/>
          <w:szCs w:val="32"/>
          <w:lang w:val="en-US" w:eastAsia="zh-CN"/>
        </w:rPr>
      </w:pPr>
      <w:r>
        <w:rPr>
          <w:rFonts w:hint="default" w:ascii="Times New Roman" w:hAnsi="Times New Roman" w:eastAsia="方正楷体简体" w:cs="Times New Roman"/>
          <w:b w:val="0"/>
          <w:bCs w:val="0"/>
          <w:color w:val="auto"/>
          <w:sz w:val="32"/>
          <w:szCs w:val="32"/>
          <w:lang w:val="en-US" w:eastAsia="zh-CN"/>
        </w:rPr>
        <w:t>（一）企业基本情况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统一社会信用代码：91370831MA3RJ8CGXL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名称:济宁地源水发建设综合开发有限公司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企业类型：有限责任公司(非自然人投资或控股的法人独资)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法定代表人：沙洪建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地址：山东省济宁市泗水县济河办中兴路49—1号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宋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注册资本：叁仟万元整</w:t>
      </w:r>
      <w:bookmarkStart w:id="4" w:name="_GoBack"/>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经营范围：城乡基础设施投资；水资源生态保护；能源电力、水利、交通、水环境治理、市政基础建设、建筑工程施工；以自有资金对外投资；机械装备制造、项目工程施工及运营；工程勘察、设计、咨询；工程监理和咨询；土地综合开发利用；土地储备市场化运作；利用土地资源的土地要素开展投资和资本运作；土地整治服务；非煤矿山、采煤塌陷地综合治理工程；测绘地理信息工程；房地产开发；现代农业产业开发；园林绿化工程；建材经营。（依法须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 w:val="0"/>
          <w:bCs w:val="0"/>
          <w:color w:val="auto"/>
          <w:sz w:val="32"/>
          <w:szCs w:val="32"/>
          <w:lang w:val="en-US" w:eastAsia="zh-CN"/>
        </w:rPr>
      </w:pPr>
      <w:r>
        <w:rPr>
          <w:rFonts w:hint="default" w:ascii="Times New Roman" w:hAnsi="Times New Roman" w:eastAsia="方正楷体简体" w:cs="Times New Roman"/>
          <w:b w:val="0"/>
          <w:bCs w:val="0"/>
          <w:color w:val="auto"/>
          <w:sz w:val="32"/>
          <w:szCs w:val="32"/>
          <w:lang w:val="en-US" w:eastAsia="zh-CN"/>
        </w:rPr>
        <w:t>（二）公司简介</w:t>
      </w:r>
    </w:p>
    <w:p>
      <w:pPr>
        <w:pStyle w:val="5"/>
        <w:ind w:left="0" w:leftChars="0" w:firstLine="640" w:firstLineChars="200"/>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sz w:val="32"/>
          <w:szCs w:val="32"/>
          <w:lang w:val="en-US" w:eastAsia="zh-CN"/>
        </w:rPr>
        <w:t>济宁地源水发建设综合开发有限公司</w:t>
      </w:r>
      <w:r>
        <w:rPr>
          <w:rFonts w:hint="eastAsia" w:ascii="方正仿宋简体" w:hAnsi="方正仿宋简体" w:eastAsia="方正仿宋简体" w:cs="方正仿宋简体"/>
          <w:kern w:val="2"/>
          <w:sz w:val="32"/>
          <w:szCs w:val="32"/>
          <w:lang w:val="en-US" w:eastAsia="zh-CN" w:bidi="ar-SA"/>
        </w:rPr>
        <w:t>是济宁市地源泉乡土地发展有限公司和水发建设有限责任公司为适应泗水县当前自然资源开发利用形式需要，于2020年3月批准设立的合资子公司，占股公司2家（济宁市地源泉乡土地发展有限公司占股51%、水发建设有限责任公司占股49%）。子公司</w:t>
      </w:r>
      <w:r>
        <w:rPr>
          <w:rFonts w:hint="eastAsia" w:eastAsia="方正仿宋简体" w:cs="方正仿宋简体"/>
          <w:sz w:val="32"/>
          <w:szCs w:val="32"/>
        </w:rPr>
        <w:t>借助集团公司的平台优势，与县委县政府全面合作，加强与自然资源相关产业协同合作，围绕“</w:t>
      </w:r>
      <w:r>
        <w:rPr>
          <w:rFonts w:hint="eastAsia" w:eastAsia="方正仿宋简体" w:cs="方正仿宋简体"/>
          <w:sz w:val="32"/>
          <w:szCs w:val="32"/>
          <w:lang w:val="en-US" w:eastAsia="zh-CN"/>
        </w:rPr>
        <w:t>社区</w:t>
      </w:r>
      <w:r>
        <w:rPr>
          <w:rFonts w:hint="eastAsia" w:eastAsia="方正仿宋简体" w:cs="方正仿宋简体"/>
          <w:sz w:val="32"/>
          <w:szCs w:val="32"/>
        </w:rPr>
        <w:t>建设”为主轴线开展工作，</w:t>
      </w:r>
      <w:r>
        <w:rPr>
          <w:rFonts w:hint="eastAsia" w:eastAsia="方正仿宋简体" w:cs="方正仿宋简体"/>
          <w:sz w:val="32"/>
          <w:szCs w:val="32"/>
          <w:lang w:eastAsia="zh-CN"/>
        </w:rPr>
        <w:t>积极</w:t>
      </w:r>
      <w:r>
        <w:rPr>
          <w:rFonts w:hint="eastAsia" w:eastAsia="方正仿宋简体" w:cs="方正仿宋简体"/>
          <w:sz w:val="32"/>
          <w:szCs w:val="32"/>
        </w:rPr>
        <w:t>参与</w:t>
      </w:r>
      <w:r>
        <w:rPr>
          <w:rFonts w:hint="eastAsia" w:eastAsia="方正仿宋简体" w:cs="方正仿宋简体"/>
          <w:sz w:val="32"/>
          <w:szCs w:val="32"/>
          <w:lang w:val="en-US" w:eastAsia="zh-CN"/>
        </w:rPr>
        <w:t>泗水县星村镇南陈社区、中册镇石桥社区</w:t>
      </w:r>
      <w:r>
        <w:rPr>
          <w:rFonts w:hint="eastAsia" w:eastAsia="方正仿宋简体" w:cs="方正仿宋简体"/>
          <w:sz w:val="32"/>
          <w:szCs w:val="32"/>
        </w:rPr>
        <w:t>等</w:t>
      </w:r>
      <w:r>
        <w:rPr>
          <w:rFonts w:hint="eastAsia" w:eastAsia="方正仿宋简体" w:cs="方正仿宋简体"/>
          <w:sz w:val="32"/>
          <w:szCs w:val="32"/>
          <w:lang w:val="en-US" w:eastAsia="zh-CN"/>
        </w:rPr>
        <w:t>增减挂钩</w:t>
      </w:r>
      <w:r>
        <w:rPr>
          <w:rFonts w:hint="eastAsia" w:eastAsia="方正仿宋简体" w:cs="方正仿宋简体"/>
          <w:sz w:val="32"/>
          <w:szCs w:val="32"/>
        </w:rPr>
        <w:t>项目</w:t>
      </w:r>
      <w:r>
        <w:rPr>
          <w:rFonts w:hint="eastAsia" w:eastAsia="方正仿宋简体" w:cs="方正仿宋简体"/>
          <w:sz w:val="32"/>
          <w:szCs w:val="32"/>
          <w:lang w:eastAsia="zh-CN"/>
        </w:rPr>
        <w:t>，</w:t>
      </w:r>
      <w:r>
        <w:rPr>
          <w:rFonts w:hint="eastAsia" w:ascii="Times New Roman" w:hAnsi="Times New Roman" w:eastAsia="仿宋" w:cs="黑体"/>
          <w:sz w:val="32"/>
          <w:szCs w:val="32"/>
          <w:lang w:val="en-US" w:eastAsia="zh-CN"/>
        </w:rPr>
        <w:t>为全县高质量发展提供有力保障</w:t>
      </w:r>
      <w:r>
        <w:rPr>
          <w:rFonts w:hint="eastAsia" w:ascii="Times New Roman" w:hAnsi="Times New Roman" w:eastAsia="仿宋" w:cs="黑体"/>
          <w:sz w:val="32"/>
          <w:szCs w:val="32"/>
        </w:rPr>
        <w:t>。</w:t>
      </w:r>
    </w:p>
    <w:p>
      <w:pPr>
        <w:rPr>
          <w:rFonts w:hint="default" w:ascii="Times New Roman" w:hAnsi="Times New Roman" w:eastAsia="方正仿宋简体" w:cs="Times New Roman"/>
          <w:b w:val="0"/>
          <w:bCs w:val="0"/>
          <w:color w:val="auto"/>
          <w:sz w:val="32"/>
          <w:szCs w:val="32"/>
          <w:lang w:val="en-US" w:eastAsia="zh-CN"/>
        </w:rPr>
      </w:pPr>
      <w:bookmarkStart w:id="1" w:name="_Toc32524"/>
      <w:r>
        <w:rPr>
          <w:rStyle w:val="14"/>
          <w:rFonts w:hint="default" w:ascii="Times New Roman" w:hAnsi="Times New Roman" w:cs="Times New Roman"/>
          <w:lang w:val="en-US" w:eastAsia="zh-CN"/>
        </w:rPr>
        <w:t>二、主要财务数据</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（一）营业总收入：0万元；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（二）营业总成本：-0.6万元；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（三）利润总额：0.6万元；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（四）资产总额：10547.54万元；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（五）负债总额：7606.96万元；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b w:val="0"/>
          <w:bCs w:val="0"/>
          <w:color w:val="auto"/>
          <w:kern w:val="2"/>
          <w:sz w:val="32"/>
          <w:szCs w:val="32"/>
          <w:highlight w:val="yellow"/>
          <w:lang w:val="en-US" w:eastAsia="zh-CN" w:bidi="ar-SA"/>
        </w:rPr>
      </w:pPr>
      <w:r>
        <w:rPr>
          <w:rFonts w:hint="eastAsia" w:ascii="方正仿宋简体" w:hAnsi="方正仿宋简体" w:eastAsia="方正仿宋简体" w:cs="方正仿宋简体"/>
          <w:b w:val="0"/>
          <w:bCs w:val="0"/>
          <w:color w:val="auto"/>
          <w:sz w:val="32"/>
          <w:szCs w:val="32"/>
          <w:lang w:val="en-US" w:eastAsia="zh-CN"/>
        </w:rPr>
        <w:t>（六）所有者权益：2940.58万元</w:t>
      </w:r>
      <w:r>
        <w:rPr>
          <w:rFonts w:hint="eastAsia" w:ascii="方正仿宋简体" w:hAnsi="方正仿宋简体" w:eastAsia="方正仿宋简体" w:cs="方正仿宋简体"/>
          <w:b w:val="0"/>
          <w:bCs w:val="0"/>
          <w:color w:val="auto"/>
          <w:kern w:val="2"/>
          <w:sz w:val="32"/>
          <w:szCs w:val="32"/>
          <w:highlight w:val="none"/>
          <w:lang w:val="en-US" w:eastAsia="zh-CN" w:bidi="ar-SA"/>
        </w:rPr>
        <w:t>。</w:t>
      </w:r>
    </w:p>
    <w:p>
      <w:pPr>
        <w:rPr>
          <w:rStyle w:val="14"/>
          <w:rFonts w:hint="eastAsia" w:ascii="方正仿宋简体" w:hAnsi="方正仿宋简体" w:eastAsia="方正仿宋简体" w:cs="方正仿宋简体"/>
          <w:lang w:val="en-US" w:eastAsia="zh-CN"/>
        </w:rPr>
      </w:pPr>
      <w:r>
        <w:rPr>
          <w:rStyle w:val="14"/>
          <w:rFonts w:hint="eastAsia" w:ascii="方正仿宋简体" w:hAnsi="方正仿宋简体" w:eastAsia="方正仿宋简体" w:cs="方正仿宋简体"/>
          <w:lang w:val="en-US" w:eastAsia="zh-CN"/>
        </w:rPr>
        <w:br w:type="page"/>
      </w:r>
    </w:p>
    <w:p>
      <w:pPr>
        <w:numPr>
          <w:ilvl w:val="0"/>
          <w:numId w:val="1"/>
        </w:numPr>
        <w:rPr>
          <w:rStyle w:val="14"/>
          <w:rFonts w:hint="eastAsia" w:ascii="Times New Roman" w:hAnsi="Times New Roman" w:cs="Times New Roman"/>
          <w:lang w:val="en-US" w:eastAsia="zh-CN"/>
        </w:rPr>
      </w:pPr>
      <w:bookmarkStart w:id="2" w:name="_Toc16244"/>
      <w:r>
        <w:rPr>
          <w:rStyle w:val="14"/>
          <w:rFonts w:hint="eastAsia" w:ascii="Times New Roman" w:hAnsi="Times New Roman" w:cs="Times New Roman"/>
          <w:lang w:val="en-US" w:eastAsia="zh-CN"/>
        </w:rPr>
        <w:t>审计报告</w:t>
      </w:r>
    </w:p>
    <w:p>
      <w:pPr>
        <w:pStyle w:val="2"/>
        <w:numPr>
          <w:ilvl w:val="0"/>
          <w:numId w:val="0"/>
        </w:numPr>
        <w:rPr>
          <w:rFonts w:hint="eastAsia"/>
          <w:lang w:val="en-US" w:eastAsia="zh-CN"/>
        </w:rPr>
      </w:pPr>
    </w:p>
    <w:bookmarkEnd w:id="2"/>
    <w:p>
      <w:pPr>
        <w:pStyle w:val="2"/>
        <w:ind w:left="0" w:leftChars="0" w:firstLine="0" w:firstLineChars="0"/>
        <w:rPr>
          <w:rFonts w:hint="default"/>
          <w:lang w:val="en-US" w:eastAsia="zh-CN"/>
        </w:rPr>
      </w:pPr>
      <w:r>
        <w:drawing>
          <wp:inline distT="0" distB="0" distL="114300" distR="114300">
            <wp:extent cx="5334000" cy="7486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334000" cy="7486650"/>
                    </a:xfrm>
                    <a:prstGeom prst="rect">
                      <a:avLst/>
                    </a:prstGeom>
                    <a:noFill/>
                    <a:ln>
                      <a:noFill/>
                    </a:ln>
                  </pic:spPr>
                </pic:pic>
              </a:graphicData>
            </a:graphic>
          </wp:inline>
        </w:drawing>
      </w:r>
      <w:r>
        <w:drawing>
          <wp:inline distT="0" distB="0" distL="114300" distR="114300">
            <wp:extent cx="5276850" cy="7534275"/>
            <wp:effectExtent l="0" t="0" r="0"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76850" cy="7534275"/>
                    </a:xfrm>
                    <a:prstGeom prst="rect">
                      <a:avLst/>
                    </a:prstGeom>
                    <a:noFill/>
                    <a:ln>
                      <a:noFill/>
                    </a:ln>
                  </pic:spPr>
                </pic:pic>
              </a:graphicData>
            </a:graphic>
          </wp:inline>
        </w:drawing>
      </w:r>
      <w:r>
        <w:drawing>
          <wp:inline distT="0" distB="0" distL="114300" distR="114300">
            <wp:extent cx="5314950" cy="7676515"/>
            <wp:effectExtent l="0" t="0" r="0" b="63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314950" cy="7676515"/>
                    </a:xfrm>
                    <a:prstGeom prst="rect">
                      <a:avLst/>
                    </a:prstGeom>
                    <a:noFill/>
                    <a:ln>
                      <a:noFill/>
                    </a:ln>
                  </pic:spPr>
                </pic:pic>
              </a:graphicData>
            </a:graphic>
          </wp:inline>
        </w:drawing>
      </w:r>
    </w:p>
    <w:p>
      <w:pPr>
        <w:numPr>
          <w:ilvl w:val="0"/>
          <w:numId w:val="1"/>
        </w:numPr>
        <w:ind w:left="0" w:leftChars="0" w:firstLine="0" w:firstLineChars="0"/>
        <w:rPr>
          <w:rStyle w:val="14"/>
          <w:rFonts w:hint="default" w:ascii="Times New Roman" w:hAnsi="Times New Roman" w:cs="Times New Roman"/>
          <w:lang w:val="en-US" w:eastAsia="zh-CN"/>
        </w:rPr>
      </w:pPr>
      <w:bookmarkStart w:id="3" w:name="_Toc12037"/>
      <w:r>
        <w:rPr>
          <w:rStyle w:val="14"/>
          <w:rFonts w:hint="default" w:ascii="Times New Roman" w:hAnsi="Times New Roman" w:cs="Times New Roman"/>
          <w:lang w:val="en-US" w:eastAsia="zh-CN"/>
        </w:rPr>
        <w:t>“三重一大”有关事项</w:t>
      </w:r>
      <w:bookmarkEnd w:id="3"/>
    </w:p>
    <w:p>
      <w:pPr>
        <w:pStyle w:val="2"/>
        <w:numPr>
          <w:numId w:val="0"/>
        </w:numPr>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无</w:t>
      </w:r>
    </w:p>
    <w:sectPr>
      <w:footerReference r:id="rId3" w:type="default"/>
      <w:pgSz w:w="11906" w:h="16838"/>
      <w:pgMar w:top="2154"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79F2BF-0F3A-444F-B3AA-B187ED4D9E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EDCF42A4-CACF-4986-BAE2-8F3D9DB03A4C}"/>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E43A26BD-A7AE-49EA-A7EC-E7E894C39F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7C6E3"/>
    <w:multiLevelType w:val="singleLevel"/>
    <w:tmpl w:val="B577C6E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Dk0ZDRhNmU3NjVjMDk5ZjM5YWYwOWE2MmEzNWUifQ=="/>
  </w:docVars>
  <w:rsids>
    <w:rsidRoot w:val="218E4CAC"/>
    <w:rsid w:val="0AD35C38"/>
    <w:rsid w:val="0C9C5EA0"/>
    <w:rsid w:val="12301B77"/>
    <w:rsid w:val="15BE5FF7"/>
    <w:rsid w:val="19017A0A"/>
    <w:rsid w:val="19796A6F"/>
    <w:rsid w:val="1D2E538D"/>
    <w:rsid w:val="1E8B1299"/>
    <w:rsid w:val="218E4CAC"/>
    <w:rsid w:val="21FA0651"/>
    <w:rsid w:val="265754CC"/>
    <w:rsid w:val="335F2790"/>
    <w:rsid w:val="354C4D5F"/>
    <w:rsid w:val="379A1DED"/>
    <w:rsid w:val="389B749B"/>
    <w:rsid w:val="392B3920"/>
    <w:rsid w:val="4401771A"/>
    <w:rsid w:val="46D72E3B"/>
    <w:rsid w:val="47AF7F65"/>
    <w:rsid w:val="4BD120B1"/>
    <w:rsid w:val="4D805B1D"/>
    <w:rsid w:val="4EE9295C"/>
    <w:rsid w:val="4F2002A2"/>
    <w:rsid w:val="51240D22"/>
    <w:rsid w:val="518900EE"/>
    <w:rsid w:val="531829B6"/>
    <w:rsid w:val="59094E9C"/>
    <w:rsid w:val="5C4D1A99"/>
    <w:rsid w:val="6239194F"/>
    <w:rsid w:val="66822AB6"/>
    <w:rsid w:val="6C5B01C3"/>
    <w:rsid w:val="6C773433"/>
    <w:rsid w:val="71840372"/>
    <w:rsid w:val="718E1577"/>
    <w:rsid w:val="739F1051"/>
    <w:rsid w:val="73B7625F"/>
    <w:rsid w:val="777945E6"/>
    <w:rsid w:val="7AC3028B"/>
    <w:rsid w:val="7AFB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qFormat/>
    <w:uiPriority w:val="0"/>
    <w:pPr>
      <w:keepNext/>
      <w:keepLines/>
      <w:spacing w:beforeLines="0" w:beforeAutospacing="0" w:afterLines="0" w:afterAutospacing="0" w:line="560" w:lineRule="exact"/>
      <w:outlineLvl w:val="0"/>
    </w:pPr>
    <w:rPr>
      <w:rFonts w:eastAsia="方正黑体简体" w:asciiTheme="minorAscii" w:hAnsiTheme="minorAscii"/>
      <w:kern w:val="44"/>
      <w:sz w:val="32"/>
    </w:rPr>
  </w:style>
  <w:style w:type="paragraph" w:styleId="4">
    <w:name w:val="heading 2"/>
    <w:basedOn w:val="1"/>
    <w:next w:val="1"/>
    <w:link w:val="15"/>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rPr>
      <w:rFonts w:ascii="Calibri" w:hAnsi="Calibri" w:cs="宋体"/>
      <w:szCs w:val="21"/>
    </w:rPr>
  </w:style>
  <w:style w:type="paragraph" w:styleId="5">
    <w:name w:val="Body Text Indent 2"/>
    <w:basedOn w:val="1"/>
    <w:qFormat/>
    <w:uiPriority w:val="0"/>
    <w:pPr>
      <w:spacing w:after="120" w:afterLines="0" w:afterAutospacing="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样式1"/>
    <w:basedOn w:val="1"/>
    <w:next w:val="1"/>
    <w:qFormat/>
    <w:uiPriority w:val="0"/>
    <w:pPr>
      <w:keepNext/>
      <w:keepLines/>
      <w:spacing w:beforeLines="0" w:afterLines="0" w:line="560" w:lineRule="exact"/>
      <w:jc w:val="center"/>
      <w:outlineLvl w:val="0"/>
    </w:pPr>
    <w:rPr>
      <w:rFonts w:hint="default" w:eastAsia="方正小标宋简体" w:asciiTheme="minorAscii" w:hAnsiTheme="minorAscii"/>
      <w:kern w:val="44"/>
      <w:sz w:val="44"/>
    </w:rPr>
  </w:style>
  <w:style w:type="paragraph" w:customStyle="1" w:styleId="13">
    <w:name w:val="正文2"/>
    <w:basedOn w:val="1"/>
    <w:qFormat/>
    <w:uiPriority w:val="0"/>
    <w:pPr>
      <w:ind w:firstLine="200"/>
    </w:pPr>
    <w:rPr>
      <w:szCs w:val="22"/>
    </w:rPr>
  </w:style>
  <w:style w:type="character" w:customStyle="1" w:styleId="14">
    <w:name w:val="标题 1 Char"/>
    <w:link w:val="3"/>
    <w:qFormat/>
    <w:uiPriority w:val="0"/>
    <w:rPr>
      <w:rFonts w:eastAsia="方正黑体简体" w:asciiTheme="minorAscii" w:hAnsiTheme="minorAscii"/>
      <w:kern w:val="44"/>
      <w:sz w:val="32"/>
    </w:rPr>
  </w:style>
  <w:style w:type="character" w:customStyle="1" w:styleId="15">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701</Words>
  <Characters>753</Characters>
  <Lines>0</Lines>
  <Paragraphs>0</Paragraphs>
  <TotalTime>11</TotalTime>
  <ScaleCrop>false</ScaleCrop>
  <LinksUpToDate>false</LinksUpToDate>
  <CharactersWithSpaces>753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2022-08-19T03:22:00Z</dcterms:created>
  <dc:creator>耿心语</dc:creator>
  <cp:lastModifiedBy>我想静静</cp:lastModifiedBy>
  <cp:lastPrinted>2022-10-06T02:37:00Z</cp:lastPrinted>
  <dcterms:modified xsi:type="dcterms:W3CDTF">2024-06-20T06:20:57Z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FBADA49744924714B57AFBD07072D15B_13</vt:lpwstr>
  </property>
</Properties>
</file>