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济宁地源自然资源科技发展有限公司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2023年度财务等重大信息公告</w:t>
      </w:r>
    </w:p>
    <w:p>
      <w:pPr>
        <w:spacing w:line="560" w:lineRule="exact"/>
        <w:rPr>
          <w:rFonts w:ascii="Times New Roman" w:hAnsi="Times New Roman" w:eastAsia="方正楷体简体" w:cs="Times New Roman"/>
          <w:sz w:val="32"/>
          <w:szCs w:val="32"/>
          <w:highlight w:val="none"/>
        </w:rPr>
      </w:pPr>
      <w:bookmarkStart w:id="0" w:name="_Toc21669"/>
      <w:r>
        <w:rPr>
          <w:rStyle w:val="16"/>
          <w:rFonts w:ascii="Times New Roman" w:hAnsi="Times New Roman" w:cs="Times New Roman"/>
          <w:highlight w:val="none"/>
        </w:rPr>
        <w:t>一、企业基本情况</w:t>
      </w:r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（一）企业基本情况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统一社会信用代码：91370800MA3UE9JYXM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名称:济宁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地源自然资源科技</w:t>
      </w:r>
      <w:r>
        <w:rPr>
          <w:rFonts w:ascii="Times New Roman" w:hAnsi="Times New Roman" w:eastAsia="方正仿宋简体" w:cs="Times New Roman"/>
          <w:sz w:val="32"/>
          <w:szCs w:val="32"/>
        </w:rPr>
        <w:t>发展有限公司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企业类型：有限责任公司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法定代表人：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高辉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地址：济宁市高新区黄屯街道海川路9号产学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研</w:t>
      </w:r>
      <w:r>
        <w:rPr>
          <w:rFonts w:ascii="Times New Roman" w:hAnsi="Times New Roman" w:eastAsia="方正仿宋简体" w:cs="Times New Roman"/>
          <w:sz w:val="32"/>
          <w:szCs w:val="32"/>
        </w:rPr>
        <w:t>基地D1楼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注册资本：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伍佰</w:t>
      </w:r>
      <w:r>
        <w:rPr>
          <w:rFonts w:ascii="Times New Roman" w:hAnsi="Times New Roman" w:eastAsia="方正仿宋简体" w:cs="Times New Roman"/>
          <w:sz w:val="32"/>
          <w:szCs w:val="32"/>
        </w:rPr>
        <w:t>万元整</w:t>
      </w: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经营范围：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自然生态系统保护管理；自然科学研究和试验发展；土地整治服务；土地调查评估服务；科技中介服务；信息技术咨询服务；农业专业及辅助性活动；规划设计管理；社会稳定风险评估；不动产登记代理服务；房地产评估；工程管理服务；水环境污染防治服务；土壤污染治理与修复服务；资产评估；土地使用权租赁（除依法需经批准的项目外，凭营业执照依法自主开展经营活动）；国土空间规划编制；建设工程设计；建筑物拆除作业（爆破作业除外）（依法需经批准的项目，经相关部门批准后方可开张经营活动，具体经营项目以审批结果为准）</w:t>
      </w:r>
    </w:p>
    <w:p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（二）公司简介</w:t>
      </w:r>
    </w:p>
    <w:p>
      <w:pPr>
        <w:pStyle w:val="2"/>
        <w:ind w:firstLine="640" w:firstLineChars="200"/>
        <w:rPr>
          <w:rFonts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济宁地源自然资源科技发展有限公司成立于2020年11月20日，为济宁市土地发展集团全资子公司。子公司围绕集团公司战略部署，通过国有资本运营平台丰富的资源，立足于发挥集团土地指标运营服务优势，放大市土地指标交易平台功能，进一步做大做强土地指标运营核心主业，不断提升集团在济宁土地指标交易市场中的地位，保证市场占有率，为全市重大基础设施、重点项目建设用地指标需求提供强有力的保障。</w:t>
      </w:r>
    </w:p>
    <w:p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方正仿宋简体" w:cs="Times New Roman"/>
          <w:sz w:val="32"/>
          <w:szCs w:val="32"/>
        </w:rPr>
      </w:pPr>
      <w:bookmarkStart w:id="1" w:name="_Toc7578"/>
      <w:r>
        <w:rPr>
          <w:rStyle w:val="16"/>
          <w:rFonts w:ascii="Times New Roman" w:hAnsi="Times New Roman" w:cs="Times New Roman"/>
        </w:rPr>
        <w:t>二、主要财务数据</w:t>
      </w:r>
      <w:bookmarkEnd w:id="1"/>
      <w:r>
        <w:rPr>
          <w:rFonts w:ascii="Times New Roman" w:hAnsi="Times New Roman" w:eastAsia="方正仿宋简体" w:cs="Times New Roman"/>
          <w:sz w:val="32"/>
          <w:szCs w:val="32"/>
        </w:rPr>
        <w:t>（财务管理部）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（一）营业总收入：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11739.75</w:t>
      </w:r>
      <w:r>
        <w:rPr>
          <w:rFonts w:ascii="Times New Roman" w:hAnsi="Times New Roman" w:eastAsia="方正仿宋简体" w:cs="Times New Roman"/>
          <w:sz w:val="32"/>
          <w:szCs w:val="32"/>
        </w:rPr>
        <w:t>万元；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（二）营业总成本：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11138.69</w:t>
      </w:r>
      <w:r>
        <w:rPr>
          <w:rFonts w:ascii="Times New Roman" w:hAnsi="Times New Roman" w:eastAsia="方正仿宋简体" w:cs="Times New Roman"/>
          <w:sz w:val="32"/>
          <w:szCs w:val="32"/>
        </w:rPr>
        <w:t>万元；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（三）利润总额：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496.91</w:t>
      </w:r>
      <w:r>
        <w:rPr>
          <w:rFonts w:ascii="Times New Roman" w:hAnsi="Times New Roman" w:eastAsia="方正仿宋简体" w:cs="Times New Roman"/>
          <w:sz w:val="32"/>
          <w:szCs w:val="32"/>
        </w:rPr>
        <w:t>万元；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（四）资产总额：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51384.57</w:t>
      </w:r>
      <w:r>
        <w:rPr>
          <w:rFonts w:ascii="Times New Roman" w:hAnsi="Times New Roman" w:eastAsia="方正仿宋简体" w:cs="Times New Roman"/>
          <w:sz w:val="32"/>
          <w:szCs w:val="32"/>
        </w:rPr>
        <w:t>万元；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（五）负债总额：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41245.04</w:t>
      </w:r>
      <w:r>
        <w:rPr>
          <w:rFonts w:ascii="Times New Roman" w:hAnsi="Times New Roman" w:eastAsia="方正仿宋简体" w:cs="Times New Roman"/>
          <w:sz w:val="32"/>
          <w:szCs w:val="32"/>
        </w:rPr>
        <w:t>万元；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（六）所有者权益：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10139.53</w:t>
      </w:r>
      <w:r>
        <w:rPr>
          <w:rFonts w:ascii="Times New Roman" w:hAnsi="Times New Roman" w:eastAsia="方正仿宋简体" w:cs="Times New Roman"/>
          <w:sz w:val="32"/>
          <w:szCs w:val="32"/>
        </w:rPr>
        <w:t>万元。</w:t>
      </w:r>
    </w:p>
    <w:p>
      <w:pPr>
        <w:rPr>
          <w:rFonts w:ascii="Times New Roman" w:hAnsi="Times New Roman" w:eastAsia="方正黑体简体" w:cs="Times New Roman"/>
          <w:kern w:val="44"/>
          <w:sz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br w:type="page"/>
      </w:r>
      <w:bookmarkStart w:id="2" w:name="_Toc10887"/>
      <w:r>
        <w:rPr>
          <w:rStyle w:val="16"/>
          <w:rFonts w:hint="eastAsia" w:ascii="Times New Roman" w:hAnsi="Times New Roman"/>
        </w:rPr>
        <w:t>三</w:t>
      </w:r>
      <w:r>
        <w:rPr>
          <w:rStyle w:val="16"/>
          <w:rFonts w:ascii="Times New Roman" w:hAnsi="Times New Roman"/>
        </w:rPr>
        <w:t>、</w:t>
      </w:r>
      <w:r>
        <w:rPr>
          <w:rStyle w:val="16"/>
          <w:rFonts w:hint="eastAsia" w:ascii="Times New Roman" w:hAnsi="Times New Roman"/>
        </w:rPr>
        <w:t>审计</w:t>
      </w:r>
      <w:r>
        <w:rPr>
          <w:rStyle w:val="16"/>
          <w:rFonts w:ascii="Times New Roman" w:hAnsi="Times New Roman"/>
        </w:rPr>
        <w:t>报告摘要</w:t>
      </w:r>
      <w:bookmarkEnd w:id="2"/>
      <w:bookmarkStart w:id="3" w:name="_Toc31469"/>
    </w:p>
    <w:p>
      <w:pPr>
        <w:pStyle w:val="2"/>
        <w:ind w:left="0" w:leftChars="0" w:firstLine="0" w:firstLineChars="0"/>
        <w:rPr>
          <w:rFonts w:hint="eastAsia" w:eastAsia="方正黑体简体"/>
          <w:lang w:eastAsia="zh-CN"/>
        </w:rPr>
      </w:pPr>
      <w:r>
        <w:rPr>
          <w:rFonts w:hint="eastAsia" w:eastAsia="方正黑体简体"/>
          <w:lang w:eastAsia="zh-CN"/>
        </w:rPr>
        <w:drawing>
          <wp:inline distT="0" distB="0" distL="114300" distR="114300">
            <wp:extent cx="5622290" cy="7421880"/>
            <wp:effectExtent l="0" t="0" r="16510" b="7620"/>
            <wp:docPr id="2" name="图片 2" descr="1718850367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88503677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2290" cy="742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 w:eastAsia="方正黑体简体"/>
          <w:lang w:eastAsia="zh-CN"/>
        </w:rPr>
      </w:pPr>
      <w:r>
        <w:rPr>
          <w:rFonts w:hint="eastAsia" w:eastAsia="方正黑体简体"/>
          <w:lang w:eastAsia="zh-CN"/>
        </w:rPr>
        <w:drawing>
          <wp:inline distT="0" distB="0" distL="114300" distR="114300">
            <wp:extent cx="5608955" cy="8013700"/>
            <wp:effectExtent l="0" t="0" r="10795" b="6350"/>
            <wp:docPr id="4" name="图片 4" descr="171885040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88504013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 w:eastAsia="方正黑体简体"/>
          <w:lang w:eastAsia="zh-CN"/>
        </w:rPr>
      </w:pPr>
      <w:r>
        <w:rPr>
          <w:rFonts w:hint="eastAsia" w:eastAsia="方正黑体简体"/>
          <w:lang w:eastAsia="zh-CN"/>
        </w:rPr>
        <w:drawing>
          <wp:inline distT="0" distB="0" distL="114300" distR="114300">
            <wp:extent cx="5588635" cy="8025765"/>
            <wp:effectExtent l="0" t="0" r="12065" b="13335"/>
            <wp:docPr id="5" name="图片 5" descr="1718850420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88504200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635" cy="802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highlight w:val="none"/>
        </w:rPr>
      </w:pPr>
      <w:r>
        <w:rPr>
          <w:rFonts w:ascii="Times New Roman" w:hAnsi="Times New Roman" w:eastAsia="方正黑体简体" w:cs="Times New Roman"/>
          <w:kern w:val="44"/>
          <w:sz w:val="32"/>
          <w:highlight w:val="none"/>
        </w:rPr>
        <w:t>四</w:t>
      </w:r>
      <w:r>
        <w:rPr>
          <w:rFonts w:hint="eastAsia" w:ascii="Times New Roman" w:hAnsi="Times New Roman" w:eastAsia="方正黑体简体" w:cs="Times New Roman"/>
          <w:kern w:val="44"/>
          <w:sz w:val="32"/>
          <w:highlight w:val="none"/>
        </w:rPr>
        <w:t>、董</w:t>
      </w:r>
      <w:r>
        <w:rPr>
          <w:rFonts w:ascii="Times New Roman" w:hAnsi="Times New Roman" w:eastAsia="方正黑体简体" w:cs="Times New Roman"/>
          <w:kern w:val="44"/>
          <w:sz w:val="32"/>
          <w:highlight w:val="none"/>
        </w:rPr>
        <w:t>监高任职情况</w:t>
      </w:r>
    </w:p>
    <w:p/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406"/>
        <w:gridCol w:w="4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9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姓名</w:t>
            </w: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性别</w:t>
            </w:r>
          </w:p>
        </w:tc>
        <w:tc>
          <w:tcPr>
            <w:tcW w:w="463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9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FFFFFF"/>
              </w:rPr>
              <w:t>高辉</w:t>
            </w: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463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FFFFFF"/>
              </w:rPr>
              <w:t>执行董事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9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FFFFFF"/>
              </w:rPr>
              <w:t>徐君</w:t>
            </w: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463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shd w:val="clear" w:color="auto" w:fill="FFFFFF"/>
              </w:rPr>
              <w:t>经理</w:t>
            </w:r>
          </w:p>
        </w:tc>
      </w:tr>
    </w:tbl>
    <w:p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br w:type="page"/>
      </w:r>
    </w:p>
    <w:p>
      <w:pPr>
        <w:rPr>
          <w:highlight w:val="none"/>
        </w:rPr>
      </w:pPr>
      <w:bookmarkStart w:id="5" w:name="_GoBack"/>
      <w:r>
        <w:rPr>
          <w:rFonts w:hint="eastAsia" w:ascii="Times New Roman" w:hAnsi="Times New Roman" w:eastAsia="方正黑体简体" w:cs="Times New Roman"/>
          <w:kern w:val="44"/>
          <w:sz w:val="32"/>
          <w:highlight w:val="none"/>
        </w:rPr>
        <w:t>五</w:t>
      </w:r>
      <w:bookmarkEnd w:id="3"/>
      <w:bookmarkStart w:id="4" w:name="_Toc2648"/>
      <w:r>
        <w:rPr>
          <w:rFonts w:ascii="Times New Roman" w:hAnsi="Times New Roman" w:eastAsia="方正黑体简体" w:cs="Times New Roman"/>
          <w:kern w:val="44"/>
          <w:sz w:val="32"/>
          <w:highlight w:val="none"/>
        </w:rPr>
        <w:t>、社会责任的履行</w:t>
      </w:r>
      <w:bookmarkEnd w:id="4"/>
    </w:p>
    <w:bookmarkEnd w:id="5"/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楷体简体" w:cs="Times New Roman"/>
          <w:bCs/>
          <w:sz w:val="32"/>
          <w:szCs w:val="32"/>
        </w:rPr>
        <w:t>劳动法律法规的遵守和执行情况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济宁地源自然资源科技公司按照《劳动法》《劳动合同法》等法律法规与职工签订书面劳动合同，健全完善内部劳动保障规章制度，主动承担起稳定就业的社会责任。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（二）人才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队伍建设情况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通过组织专业技术人员交流学习等形式，鼓励有上进心的员工考取工程师、测绘师、会计师等执业资格，有效挖掘内部人才的潜力，不断提高专业技术力量和全员综合素质。</w:t>
      </w:r>
    </w:p>
    <w:p>
      <w:pPr>
        <w:pStyle w:val="2"/>
        <w:ind w:left="0" w:leftChars="0" w:firstLine="0" w:firstLineChars="0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2154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zNjc5OGQ1ZTI1YzEyZWJkNWYzMDcwN2I1NDcxOGQifQ=="/>
    <w:docVar w:name="KSO_WPS_MARK_KEY" w:val="a9eab441-14b6-4f26-b4b4-a3958ca27c5b"/>
  </w:docVars>
  <w:rsids>
    <w:rsidRoot w:val="218E4CAC"/>
    <w:rsid w:val="00005924"/>
    <w:rsid w:val="00050316"/>
    <w:rsid w:val="00082E12"/>
    <w:rsid w:val="00093BAE"/>
    <w:rsid w:val="00114000"/>
    <w:rsid w:val="001C51F3"/>
    <w:rsid w:val="001C7F2E"/>
    <w:rsid w:val="00293EE3"/>
    <w:rsid w:val="00372CB8"/>
    <w:rsid w:val="0040364E"/>
    <w:rsid w:val="004B4603"/>
    <w:rsid w:val="00513ED9"/>
    <w:rsid w:val="00565157"/>
    <w:rsid w:val="005A2919"/>
    <w:rsid w:val="005C6E45"/>
    <w:rsid w:val="00663B2D"/>
    <w:rsid w:val="00675F0C"/>
    <w:rsid w:val="00744571"/>
    <w:rsid w:val="007533AA"/>
    <w:rsid w:val="007907B5"/>
    <w:rsid w:val="007A0B27"/>
    <w:rsid w:val="007A4D67"/>
    <w:rsid w:val="008313E1"/>
    <w:rsid w:val="009049E7"/>
    <w:rsid w:val="0097361C"/>
    <w:rsid w:val="00992D3B"/>
    <w:rsid w:val="00BB6C60"/>
    <w:rsid w:val="00C6450F"/>
    <w:rsid w:val="00DD284E"/>
    <w:rsid w:val="00E166B5"/>
    <w:rsid w:val="00E70057"/>
    <w:rsid w:val="00E9776D"/>
    <w:rsid w:val="00EF121D"/>
    <w:rsid w:val="0AD35C38"/>
    <w:rsid w:val="0C9C5EA0"/>
    <w:rsid w:val="12301B77"/>
    <w:rsid w:val="19796A6F"/>
    <w:rsid w:val="1E8B1299"/>
    <w:rsid w:val="218E4CAC"/>
    <w:rsid w:val="28E712DC"/>
    <w:rsid w:val="2F437B2E"/>
    <w:rsid w:val="335F2790"/>
    <w:rsid w:val="379A1DED"/>
    <w:rsid w:val="389B749B"/>
    <w:rsid w:val="45CF7954"/>
    <w:rsid w:val="46D72E3B"/>
    <w:rsid w:val="4D805B1D"/>
    <w:rsid w:val="4FBE5D51"/>
    <w:rsid w:val="51240D22"/>
    <w:rsid w:val="531829B6"/>
    <w:rsid w:val="56BC1572"/>
    <w:rsid w:val="57662CD2"/>
    <w:rsid w:val="59094E9C"/>
    <w:rsid w:val="5C4D1A99"/>
    <w:rsid w:val="6239194F"/>
    <w:rsid w:val="718E1577"/>
    <w:rsid w:val="739F1051"/>
    <w:rsid w:val="777945E6"/>
    <w:rsid w:val="7FE84D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line="560" w:lineRule="exact"/>
      <w:outlineLvl w:val="0"/>
    </w:pPr>
    <w:rPr>
      <w:rFonts w:eastAsia="方正黑体简体"/>
      <w:kern w:val="44"/>
      <w:sz w:val="32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99"/>
    <w:pPr>
      <w:ind w:firstLine="560"/>
    </w:pPr>
    <w:rPr>
      <w:rFonts w:ascii="Calibri" w:hAnsi="Calibri" w:cs="宋体"/>
      <w:szCs w:val="21"/>
    </w:rPr>
  </w:style>
  <w:style w:type="paragraph" w:styleId="5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paragraph" w:customStyle="1" w:styleId="14">
    <w:name w:val="样式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customStyle="1" w:styleId="15">
    <w:name w:val="正文2"/>
    <w:basedOn w:val="1"/>
    <w:qFormat/>
    <w:uiPriority w:val="0"/>
    <w:pPr>
      <w:ind w:firstLine="200"/>
    </w:pPr>
    <w:rPr>
      <w:szCs w:val="22"/>
    </w:rPr>
  </w:style>
  <w:style w:type="character" w:customStyle="1" w:styleId="16">
    <w:name w:val="标题 1 Char"/>
    <w:link w:val="3"/>
    <w:qFormat/>
    <w:uiPriority w:val="0"/>
    <w:rPr>
      <w:rFonts w:eastAsia="方正黑体简体" w:asciiTheme="minorHAnsi" w:hAnsiTheme="minorHAnsi"/>
      <w:kern w:val="44"/>
      <w:sz w:val="32"/>
    </w:rPr>
  </w:style>
  <w:style w:type="character" w:customStyle="1" w:styleId="17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878</Words>
  <Characters>944</Characters>
  <Lines>10</Lines>
  <Paragraphs>2</Paragraphs>
  <TotalTime>1</TotalTime>
  <ScaleCrop>false</ScaleCrop>
  <LinksUpToDate>false</LinksUpToDate>
  <CharactersWithSpaces>944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2022-08-19T03:22:00Z</dcterms:created>
  <dc:creator>耿心语</dc:creator>
  <cp:lastModifiedBy>神奇的柿子</cp:lastModifiedBy>
  <cp:lastPrinted>2023-06-20T09:00:00Z</cp:lastPrinted>
  <dcterms:modified xsi:type="dcterms:W3CDTF">2024-06-21T01:17:07Z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3D3B73858FBF41AE8D3B5C07D31187DB</vt:lpwstr>
  </property>
</Properties>
</file>